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72" w:type="dxa"/>
        <w:tblLook w:val="01E0" w:firstRow="1" w:lastRow="1" w:firstColumn="1" w:lastColumn="1" w:noHBand="0" w:noVBand="0"/>
      </w:tblPr>
      <w:tblGrid>
        <w:gridCol w:w="3119"/>
        <w:gridCol w:w="5953"/>
      </w:tblGrid>
      <w:tr w:rsidR="001535AA" w14:paraId="57520F69" w14:textId="77777777">
        <w:tc>
          <w:tcPr>
            <w:tcW w:w="3119" w:type="dxa"/>
          </w:tcPr>
          <w:p w14:paraId="52638DA4" w14:textId="77777777" w:rsidR="001535AA" w:rsidRDefault="007D25DA">
            <w:pPr>
              <w:ind w:left="-108" w:right="-108"/>
              <w:jc w:val="center"/>
              <w:rPr>
                <w:b/>
                <w:color w:val="000000" w:themeColor="text1"/>
                <w:sz w:val="26"/>
                <w:szCs w:val="26"/>
              </w:rPr>
            </w:pPr>
            <w:r>
              <w:rPr>
                <w:b/>
                <w:color w:val="000000" w:themeColor="text1"/>
                <w:sz w:val="26"/>
                <w:szCs w:val="26"/>
              </w:rPr>
              <w:t>ỦY BAN NHÂN DÂN</w:t>
            </w:r>
          </w:p>
          <w:p w14:paraId="503DA837" w14:textId="77777777" w:rsidR="001535AA" w:rsidRDefault="007D25DA">
            <w:pPr>
              <w:ind w:left="-108" w:right="-108"/>
              <w:jc w:val="center"/>
              <w:rPr>
                <w:b/>
                <w:color w:val="000000" w:themeColor="text1"/>
                <w:sz w:val="26"/>
                <w:szCs w:val="26"/>
              </w:rPr>
            </w:pPr>
            <w:r>
              <w:rPr>
                <w:b/>
                <w:color w:val="000000" w:themeColor="text1"/>
                <w:sz w:val="26"/>
                <w:szCs w:val="26"/>
              </w:rPr>
              <w:t>TỈNH BẮC GIANG</w:t>
            </w:r>
          </w:p>
          <w:p w14:paraId="686B2570" w14:textId="77777777" w:rsidR="001535AA" w:rsidRDefault="007D25DA">
            <w:pPr>
              <w:ind w:left="-108" w:right="-108"/>
              <w:jc w:val="center"/>
              <w:rPr>
                <w:color w:val="000000" w:themeColor="text1"/>
                <w:sz w:val="25"/>
                <w:szCs w:val="25"/>
              </w:rPr>
            </w:pPr>
            <w:r>
              <w:rPr>
                <w:color w:val="000000" w:themeColor="text1"/>
                <w:sz w:val="25"/>
                <w:szCs w:val="25"/>
              </w:rPr>
              <w:t>––––––––</w:t>
            </w:r>
          </w:p>
          <w:p w14:paraId="71882342" w14:textId="15B52131" w:rsidR="001535AA" w:rsidRDefault="007D25DA">
            <w:pPr>
              <w:spacing w:before="120"/>
              <w:ind w:left="-108" w:right="-108"/>
              <w:jc w:val="center"/>
              <w:rPr>
                <w:color w:val="000000" w:themeColor="text1"/>
                <w:sz w:val="25"/>
                <w:szCs w:val="25"/>
              </w:rPr>
            </w:pPr>
            <w:r>
              <w:rPr>
                <w:color w:val="000000" w:themeColor="text1"/>
                <w:sz w:val="25"/>
                <w:szCs w:val="25"/>
              </w:rPr>
              <w:t xml:space="preserve">Số:  </w:t>
            </w:r>
            <w:r w:rsidR="008E7C0F">
              <w:rPr>
                <w:color w:val="000000" w:themeColor="text1"/>
                <w:sz w:val="25"/>
                <w:szCs w:val="25"/>
              </w:rPr>
              <w:t>28</w:t>
            </w:r>
            <w:r>
              <w:rPr>
                <w:color w:val="000000" w:themeColor="text1"/>
                <w:sz w:val="25"/>
                <w:szCs w:val="25"/>
              </w:rPr>
              <w:t>/2023/QĐ-UBND</w:t>
            </w:r>
          </w:p>
        </w:tc>
        <w:tc>
          <w:tcPr>
            <w:tcW w:w="5953" w:type="dxa"/>
          </w:tcPr>
          <w:p w14:paraId="0EBD988F" w14:textId="77777777" w:rsidR="001535AA" w:rsidRDefault="007D25DA">
            <w:pPr>
              <w:ind w:left="-108" w:right="-108" w:hanging="109"/>
              <w:jc w:val="center"/>
              <w:rPr>
                <w:b/>
                <w:color w:val="000000" w:themeColor="text1"/>
                <w:sz w:val="26"/>
              </w:rPr>
            </w:pPr>
            <w:r>
              <w:rPr>
                <w:b/>
                <w:color w:val="000000" w:themeColor="text1"/>
                <w:sz w:val="26"/>
              </w:rPr>
              <w:t>CỘNG HÒA XÃ HỘI CHỦ NGHĨA VIỆT NAM</w:t>
            </w:r>
          </w:p>
          <w:p w14:paraId="1A9269E9" w14:textId="77777777" w:rsidR="001535AA" w:rsidRDefault="007D25DA">
            <w:pPr>
              <w:ind w:left="-108" w:right="-108"/>
              <w:jc w:val="center"/>
              <w:rPr>
                <w:b/>
                <w:color w:val="000000" w:themeColor="text1"/>
                <w:sz w:val="28"/>
                <w:szCs w:val="28"/>
              </w:rPr>
            </w:pPr>
            <w:r>
              <w:rPr>
                <w:b/>
                <w:color w:val="000000" w:themeColor="text1"/>
                <w:sz w:val="28"/>
                <w:szCs w:val="28"/>
              </w:rPr>
              <w:t>Độc lập - Tự do - Hạnh phúc</w:t>
            </w:r>
          </w:p>
          <w:p w14:paraId="7DF5DFD0" w14:textId="77777777" w:rsidR="001535AA" w:rsidRDefault="007D25DA">
            <w:pPr>
              <w:ind w:left="-108" w:right="-108"/>
              <w:jc w:val="center"/>
              <w:rPr>
                <w:b/>
                <w:color w:val="000000" w:themeColor="text1"/>
              </w:rPr>
            </w:pPr>
            <w:r>
              <w:rPr>
                <w:b/>
                <w:color w:val="000000" w:themeColor="text1"/>
              </w:rPr>
              <w:t>––––––––––––––––––––––––––––</w:t>
            </w:r>
          </w:p>
          <w:p w14:paraId="5C983C66" w14:textId="1C9B8213" w:rsidR="001535AA" w:rsidRDefault="007D25DA">
            <w:pPr>
              <w:spacing w:before="120"/>
              <w:ind w:left="-108" w:right="-108"/>
              <w:jc w:val="center"/>
              <w:rPr>
                <w:i/>
                <w:color w:val="000000" w:themeColor="text1"/>
                <w:sz w:val="28"/>
                <w:szCs w:val="28"/>
              </w:rPr>
            </w:pPr>
            <w:r>
              <w:rPr>
                <w:i/>
                <w:color w:val="000000" w:themeColor="text1"/>
                <w:sz w:val="28"/>
                <w:szCs w:val="28"/>
              </w:rPr>
              <w:t xml:space="preserve">Bắc Giang, ngày </w:t>
            </w:r>
            <w:r w:rsidR="008E7C0F">
              <w:rPr>
                <w:i/>
                <w:color w:val="000000" w:themeColor="text1"/>
                <w:sz w:val="28"/>
                <w:szCs w:val="28"/>
              </w:rPr>
              <w:t>11</w:t>
            </w:r>
            <w:r>
              <w:rPr>
                <w:i/>
                <w:color w:val="000000" w:themeColor="text1"/>
                <w:sz w:val="28"/>
                <w:szCs w:val="28"/>
              </w:rPr>
              <w:t xml:space="preserve"> tháng 9 năm 2023</w:t>
            </w:r>
          </w:p>
        </w:tc>
      </w:tr>
    </w:tbl>
    <w:p w14:paraId="022620BD" w14:textId="77777777" w:rsidR="001535AA" w:rsidRDefault="001535AA">
      <w:pPr>
        <w:widowControl w:val="0"/>
        <w:jc w:val="center"/>
        <w:rPr>
          <w:color w:val="000000" w:themeColor="text1"/>
          <w:spacing w:val="-2"/>
          <w:sz w:val="28"/>
          <w:szCs w:val="28"/>
        </w:rPr>
      </w:pPr>
    </w:p>
    <w:p w14:paraId="0BC2B43A" w14:textId="77777777" w:rsidR="001535AA" w:rsidRDefault="007D25DA">
      <w:pPr>
        <w:widowControl w:val="0"/>
        <w:jc w:val="center"/>
        <w:rPr>
          <w:b/>
          <w:color w:val="000000" w:themeColor="text1"/>
          <w:sz w:val="28"/>
          <w:szCs w:val="28"/>
        </w:rPr>
      </w:pPr>
      <w:r>
        <w:rPr>
          <w:b/>
          <w:color w:val="000000" w:themeColor="text1"/>
          <w:sz w:val="28"/>
          <w:szCs w:val="28"/>
        </w:rPr>
        <w:t>QUYẾT ĐỊNH</w:t>
      </w:r>
    </w:p>
    <w:p w14:paraId="4788C613" w14:textId="77777777" w:rsidR="001535AA" w:rsidRDefault="007D25DA">
      <w:pPr>
        <w:jc w:val="center"/>
        <w:rPr>
          <w:b/>
          <w:sz w:val="28"/>
          <w:szCs w:val="28"/>
          <w:lang w:val="nl-NL"/>
        </w:rPr>
      </w:pPr>
      <w:r>
        <w:rPr>
          <w:b/>
          <w:sz w:val="28"/>
          <w:szCs w:val="28"/>
          <w:lang w:val="nl-NL"/>
        </w:rPr>
        <w:t>Bãi bỏ các quyết định của UBND tỉnh Bắc Giang</w:t>
      </w:r>
    </w:p>
    <w:p w14:paraId="6523AFCA" w14:textId="594F8D69" w:rsidR="001535AA" w:rsidRDefault="00E51295" w:rsidP="00E51295">
      <w:pPr>
        <w:widowControl w:val="0"/>
        <w:ind w:firstLine="720"/>
        <w:jc w:val="center"/>
        <w:rPr>
          <w:color w:val="000000" w:themeColor="text1"/>
          <w:sz w:val="28"/>
          <w:szCs w:val="28"/>
        </w:rPr>
      </w:pPr>
      <w:r>
        <w:rPr>
          <w:color w:val="000000" w:themeColor="text1"/>
          <w:sz w:val="28"/>
          <w:szCs w:val="28"/>
        </w:rPr>
        <w:t>_______________________</w:t>
      </w:r>
    </w:p>
    <w:p w14:paraId="251BD4B1" w14:textId="77777777" w:rsidR="001535AA" w:rsidRDefault="007D25DA">
      <w:pPr>
        <w:widowControl w:val="0"/>
        <w:spacing w:before="240" w:after="240"/>
        <w:jc w:val="center"/>
        <w:rPr>
          <w:b/>
          <w:color w:val="000000" w:themeColor="text1"/>
          <w:spacing w:val="-8"/>
          <w:sz w:val="26"/>
          <w:szCs w:val="28"/>
        </w:rPr>
      </w:pPr>
      <w:r>
        <w:rPr>
          <w:b/>
          <w:color w:val="000000" w:themeColor="text1"/>
          <w:spacing w:val="-8"/>
          <w:sz w:val="26"/>
          <w:szCs w:val="28"/>
        </w:rPr>
        <w:t>UỶ BAN NHÂN DÂN</w:t>
      </w:r>
      <w:r>
        <w:rPr>
          <w:b/>
          <w:color w:val="000000" w:themeColor="text1"/>
          <w:spacing w:val="-8"/>
          <w:szCs w:val="28"/>
        </w:rPr>
        <w:t xml:space="preserve"> TỈNH BẮC GIANG</w:t>
      </w:r>
    </w:p>
    <w:p w14:paraId="37BB4AE4" w14:textId="77777777" w:rsidR="001535AA" w:rsidRDefault="007D25DA">
      <w:pPr>
        <w:jc w:val="both"/>
        <w:rPr>
          <w:i/>
          <w:iCs/>
          <w:color w:val="000000"/>
          <w:sz w:val="28"/>
          <w:szCs w:val="28"/>
        </w:rPr>
      </w:pPr>
      <w:r>
        <w:rPr>
          <w:b/>
          <w:color w:val="000000" w:themeColor="text1"/>
          <w:spacing w:val="-8"/>
          <w:sz w:val="28"/>
          <w:szCs w:val="28"/>
        </w:rPr>
        <w:tab/>
      </w:r>
      <w:r>
        <w:rPr>
          <w:i/>
          <w:iCs/>
          <w:color w:val="000000"/>
          <w:sz w:val="28"/>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2734D656" w14:textId="77777777" w:rsidR="001535AA" w:rsidRDefault="007D25DA">
      <w:pPr>
        <w:spacing w:before="120" w:after="120"/>
        <w:jc w:val="both"/>
        <w:rPr>
          <w:i/>
          <w:iCs/>
          <w:color w:val="000000"/>
          <w:sz w:val="28"/>
          <w:szCs w:val="28"/>
        </w:rPr>
      </w:pPr>
      <w:r>
        <w:rPr>
          <w:i/>
          <w:iCs/>
          <w:color w:val="000000"/>
          <w:sz w:val="28"/>
          <w:szCs w:val="28"/>
        </w:rPr>
        <w:tab/>
        <w:t>Căn cứ Luật Ban hành văn bản quy phạm pháp luật ngày 22 tháng 6 năm 2015; Luật sửa đổi, bổ sung một số điều của Luật Ban hành văn bản quy phạm pháp luật ngày 18 tháng 6 năm 2020;</w:t>
      </w:r>
    </w:p>
    <w:p w14:paraId="310F5BFD" w14:textId="77777777" w:rsidR="001535AA" w:rsidRDefault="007D25DA">
      <w:pPr>
        <w:spacing w:before="120" w:after="120"/>
        <w:jc w:val="both"/>
        <w:rPr>
          <w:i/>
          <w:iCs/>
          <w:color w:val="000000"/>
          <w:spacing w:val="2"/>
          <w:sz w:val="28"/>
          <w:szCs w:val="28"/>
        </w:rPr>
      </w:pPr>
      <w:r>
        <w:rPr>
          <w:i/>
          <w:iCs/>
          <w:color w:val="000000"/>
          <w:sz w:val="28"/>
          <w:szCs w:val="28"/>
        </w:rPr>
        <w:tab/>
      </w:r>
      <w:r>
        <w:rPr>
          <w:i/>
          <w:iCs/>
          <w:color w:val="000000"/>
          <w:spacing w:val="2"/>
          <w:sz w:val="28"/>
          <w:szCs w:val="28"/>
        </w:rPr>
        <w:t>Căn cứ Luật Xử lý vi phạm hành chính ngày 20 tháng 6 năm 2012; Luật sửa đổi, bổ sung một số điều của Luật Xử lý vi phạm hành chính ngày 13 tháng 11 năm 2020;</w:t>
      </w:r>
    </w:p>
    <w:p w14:paraId="3548BBF9" w14:textId="77777777" w:rsidR="001535AA" w:rsidRDefault="007D25DA">
      <w:pPr>
        <w:spacing w:before="120" w:after="120"/>
        <w:jc w:val="both"/>
        <w:rPr>
          <w:i/>
          <w:iCs/>
          <w:color w:val="000000"/>
          <w:sz w:val="28"/>
          <w:szCs w:val="28"/>
        </w:rPr>
      </w:pPr>
      <w:r>
        <w:rPr>
          <w:i/>
          <w:iCs/>
          <w:color w:val="000000"/>
          <w:sz w:val="28"/>
          <w:szCs w:val="28"/>
        </w:rPr>
        <w:tab/>
        <w:t>Căn cứ Luật Phòng, chống ma túy ngày 30 tháng 3 năm 2021;</w:t>
      </w:r>
    </w:p>
    <w:p w14:paraId="426008BD" w14:textId="77777777" w:rsidR="001535AA" w:rsidRDefault="007D25DA">
      <w:pPr>
        <w:spacing w:before="120" w:after="120"/>
        <w:ind w:firstLine="720"/>
        <w:jc w:val="both"/>
        <w:rPr>
          <w:i/>
          <w:iCs/>
          <w:color w:val="000000"/>
          <w:sz w:val="28"/>
          <w:szCs w:val="28"/>
        </w:rPr>
      </w:pPr>
      <w:r>
        <w:rPr>
          <w:i/>
          <w:sz w:val="28"/>
          <w:szCs w:val="28"/>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793C06DC" w14:textId="77777777" w:rsidR="001535AA" w:rsidRDefault="007D25DA">
      <w:pPr>
        <w:spacing w:before="120" w:after="120"/>
        <w:ind w:firstLine="720"/>
        <w:jc w:val="both"/>
        <w:rPr>
          <w:i/>
          <w:iCs/>
          <w:color w:val="000000"/>
          <w:sz w:val="28"/>
          <w:szCs w:val="28"/>
        </w:rPr>
      </w:pPr>
      <w:r>
        <w:rPr>
          <w:i/>
          <w:iCs/>
          <w:color w:val="000000"/>
          <w:sz w:val="28"/>
          <w:szCs w:val="28"/>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14:paraId="0EE01BB6" w14:textId="77777777" w:rsidR="001535AA" w:rsidRDefault="007D25DA">
      <w:pPr>
        <w:spacing w:before="120" w:after="120"/>
        <w:jc w:val="both"/>
        <w:rPr>
          <w:i/>
          <w:iCs/>
          <w:color w:val="000000"/>
          <w:sz w:val="28"/>
          <w:szCs w:val="28"/>
        </w:rPr>
      </w:pPr>
      <w:r>
        <w:rPr>
          <w:i/>
          <w:iCs/>
          <w:color w:val="000000"/>
          <w:sz w:val="28"/>
          <w:szCs w:val="28"/>
        </w:rPr>
        <w:tab/>
        <w:t>Căn cứ Thông tư số 62/2022/TT-BTC ngày 05 tháng 10 năm 2022 của Bộ trưởng Bộ Tài chính Quy định việc quản lý và sử dụng kinh phí sự nghiệp từ ngân sách nhà nước thực hiện chế độ áp dụng biện pháp đưa vào cơ sở cai nghiện ma túy bắt buộc; công tác cai nghiện ma túy tự nguyện tại gia đình, cộng đồng, cơ sở cai nghiện ma túy và quản lý sau cai nghiện ma túy;</w:t>
      </w:r>
      <w:r>
        <w:rPr>
          <w:i/>
          <w:iCs/>
          <w:color w:val="000000"/>
          <w:sz w:val="28"/>
          <w:szCs w:val="28"/>
        </w:rPr>
        <w:tab/>
      </w:r>
    </w:p>
    <w:p w14:paraId="4693DD46" w14:textId="77777777" w:rsidR="001535AA" w:rsidRDefault="007D25DA">
      <w:pPr>
        <w:ind w:firstLine="720"/>
        <w:jc w:val="both"/>
        <w:rPr>
          <w:i/>
          <w:sz w:val="28"/>
          <w:szCs w:val="28"/>
        </w:rPr>
      </w:pPr>
      <w:r>
        <w:rPr>
          <w:i/>
          <w:iCs/>
          <w:sz w:val="28"/>
          <w:szCs w:val="28"/>
          <w:lang w:val="nl-NL"/>
        </w:rPr>
        <w:t>Theo đề nghị của Sở Lao động - Thương binh và Xã hội tại Tờ trình số      93/TTr-LĐTB&amp;XH ngày 08 tháng 9 năm 2023</w:t>
      </w:r>
      <w:r>
        <w:rPr>
          <w:i/>
          <w:sz w:val="28"/>
          <w:szCs w:val="28"/>
        </w:rPr>
        <w:t>.</w:t>
      </w:r>
    </w:p>
    <w:p w14:paraId="319C9D33" w14:textId="77777777" w:rsidR="001535AA" w:rsidRDefault="007D25DA">
      <w:pPr>
        <w:widowControl w:val="0"/>
        <w:spacing w:before="240" w:after="240"/>
        <w:jc w:val="center"/>
        <w:rPr>
          <w:b/>
          <w:sz w:val="28"/>
          <w:szCs w:val="28"/>
        </w:rPr>
      </w:pPr>
      <w:r>
        <w:rPr>
          <w:b/>
          <w:sz w:val="26"/>
          <w:szCs w:val="28"/>
        </w:rPr>
        <w:t>QUYẾT ĐỊNH:</w:t>
      </w:r>
    </w:p>
    <w:p w14:paraId="60476E0A" w14:textId="77777777" w:rsidR="001535AA" w:rsidRDefault="007D25DA">
      <w:pPr>
        <w:jc w:val="both"/>
        <w:rPr>
          <w:sz w:val="28"/>
          <w:szCs w:val="28"/>
          <w:lang w:val="nl-NL"/>
        </w:rPr>
      </w:pPr>
      <w:r>
        <w:rPr>
          <w:b/>
          <w:sz w:val="28"/>
          <w:szCs w:val="28"/>
        </w:rPr>
        <w:tab/>
      </w:r>
      <w:r>
        <w:rPr>
          <w:b/>
          <w:sz w:val="28"/>
          <w:szCs w:val="28"/>
          <w:lang w:val="nl-NL"/>
        </w:rPr>
        <w:t>Điều 1. Bãi bỏ toàn bộ các quyết định</w:t>
      </w:r>
      <w:r>
        <w:rPr>
          <w:b/>
          <w:sz w:val="28"/>
          <w:szCs w:val="22"/>
          <w:lang w:val="nl-NL"/>
        </w:rPr>
        <w:t xml:space="preserve"> sau đây:</w:t>
      </w:r>
    </w:p>
    <w:p w14:paraId="2F555E89" w14:textId="77777777" w:rsidR="001535AA" w:rsidRDefault="007D25DA">
      <w:pPr>
        <w:spacing w:before="120" w:after="120"/>
        <w:ind w:firstLine="720"/>
        <w:jc w:val="both"/>
        <w:rPr>
          <w:rStyle w:val="Emphasis"/>
          <w:i w:val="0"/>
          <w:sz w:val="28"/>
          <w:szCs w:val="28"/>
        </w:rPr>
      </w:pPr>
      <w:r>
        <w:rPr>
          <w:sz w:val="28"/>
          <w:szCs w:val="28"/>
          <w:lang w:val="nl-NL"/>
        </w:rPr>
        <w:t xml:space="preserve">1. </w:t>
      </w:r>
      <w:r>
        <w:rPr>
          <w:rStyle w:val="Emphasis"/>
          <w:i w:val="0"/>
          <w:sz w:val="28"/>
          <w:szCs w:val="28"/>
        </w:rPr>
        <w:t xml:space="preserve">Quyết định số 492/2016/QĐ-UBND ngày 26 tháng 8 năm 2016 của </w:t>
      </w:r>
      <w:r>
        <w:rPr>
          <w:spacing w:val="-4"/>
          <w:sz w:val="28"/>
          <w:szCs w:val="28"/>
        </w:rPr>
        <w:t>Ủy ban nhân dân</w:t>
      </w:r>
      <w:r>
        <w:rPr>
          <w:rStyle w:val="Emphasis"/>
          <w:i w:val="0"/>
          <w:sz w:val="28"/>
          <w:szCs w:val="28"/>
        </w:rPr>
        <w:t xml:space="preserve"> tỉnh Bắc Giang Quy định quản lý và sử dụng kinh phí thực hiện chế độ áp dụng biện pháp xử lý hành chính đưa vào cơ sở cai nghiện bắt buộc; các khoản đóng góp và chế độ miễn, giảm đối với người tự nguyện chữa trị, cai nghiện </w:t>
      </w:r>
      <w:r>
        <w:rPr>
          <w:rStyle w:val="Emphasis"/>
          <w:i w:val="0"/>
          <w:sz w:val="28"/>
          <w:szCs w:val="28"/>
        </w:rPr>
        <w:lastRenderedPageBreak/>
        <w:t>ma túy tại cơ sở điều trị nghiện; người cai nghiện ma túy bắt buộc, tự nguyện tại cộng đồng trên địa bàn tỉnh Bắc Giang.</w:t>
      </w:r>
    </w:p>
    <w:p w14:paraId="79186CA2" w14:textId="77777777" w:rsidR="001535AA" w:rsidRDefault="007D25DA">
      <w:pPr>
        <w:spacing w:before="120" w:after="120"/>
        <w:ind w:firstLine="720"/>
        <w:jc w:val="both"/>
        <w:rPr>
          <w:sz w:val="28"/>
          <w:szCs w:val="28"/>
        </w:rPr>
      </w:pPr>
      <w:r>
        <w:rPr>
          <w:rStyle w:val="Hyperlink"/>
          <w:color w:val="auto"/>
          <w:spacing w:val="-4"/>
          <w:sz w:val="28"/>
          <w:szCs w:val="28"/>
          <w:u w:val="none"/>
        </w:rPr>
        <w:t xml:space="preserve">2. </w:t>
      </w:r>
      <w:r>
        <w:rPr>
          <w:rStyle w:val="Emphasis"/>
          <w:i w:val="0"/>
          <w:sz w:val="28"/>
          <w:szCs w:val="28"/>
        </w:rPr>
        <w:t xml:space="preserve">Quyết định số 43/2021/QĐ-UBND ngày 30 tháng 8 năm 2021 của </w:t>
      </w:r>
      <w:r>
        <w:rPr>
          <w:spacing w:val="-4"/>
          <w:sz w:val="28"/>
          <w:szCs w:val="28"/>
        </w:rPr>
        <w:t>Ủy ban nhân dân</w:t>
      </w:r>
      <w:r>
        <w:rPr>
          <w:rStyle w:val="Emphasis"/>
          <w:i w:val="0"/>
          <w:sz w:val="28"/>
          <w:szCs w:val="28"/>
        </w:rPr>
        <w:t xml:space="preserve"> tỉnh Bắc Giang Quy định </w:t>
      </w:r>
      <w:r>
        <w:rPr>
          <w:sz w:val="28"/>
          <w:szCs w:val="28"/>
        </w:rPr>
        <w:t>định mức tiền ăn thêm ngày lễ, tết cho người nghiện ma túy bị áp dụng biện pháp xử lý hành chính đưa vào cơ sở cai nghiện bắt buộc trên địa bàn tỉnh Bắc Giang.</w:t>
      </w:r>
    </w:p>
    <w:p w14:paraId="390C6BE7" w14:textId="77777777" w:rsidR="001535AA" w:rsidRDefault="007D25DA">
      <w:pPr>
        <w:spacing w:before="120" w:after="120"/>
        <w:ind w:firstLine="720"/>
        <w:jc w:val="both"/>
        <w:rPr>
          <w:b/>
          <w:spacing w:val="-4"/>
          <w:sz w:val="28"/>
          <w:szCs w:val="28"/>
          <w:lang w:val="nl-NL"/>
        </w:rPr>
      </w:pPr>
      <w:r>
        <w:rPr>
          <w:b/>
          <w:sz w:val="28"/>
          <w:szCs w:val="28"/>
          <w:lang w:val="nl-NL"/>
        </w:rPr>
        <w:t>Điều 2.</w:t>
      </w:r>
      <w:r>
        <w:rPr>
          <w:sz w:val="28"/>
          <w:szCs w:val="28"/>
          <w:lang w:val="nl-NL"/>
        </w:rPr>
        <w:t xml:space="preserve"> </w:t>
      </w:r>
      <w:r>
        <w:rPr>
          <w:b/>
          <w:spacing w:val="-4"/>
          <w:sz w:val="28"/>
          <w:szCs w:val="28"/>
          <w:lang w:val="nl-NL"/>
        </w:rPr>
        <w:t>Điều khoản thi hành</w:t>
      </w:r>
    </w:p>
    <w:p w14:paraId="2C9449DF" w14:textId="77777777" w:rsidR="001535AA" w:rsidRDefault="007D25DA">
      <w:pPr>
        <w:spacing w:before="120" w:after="120"/>
        <w:ind w:firstLine="720"/>
        <w:jc w:val="both"/>
        <w:rPr>
          <w:spacing w:val="-4"/>
          <w:sz w:val="28"/>
          <w:szCs w:val="28"/>
          <w:lang w:val="nl-NL"/>
        </w:rPr>
      </w:pPr>
      <w:r>
        <w:rPr>
          <w:spacing w:val="-4"/>
          <w:sz w:val="28"/>
          <w:szCs w:val="28"/>
          <w:lang w:val="nl-NL"/>
        </w:rPr>
        <w:t xml:space="preserve">1. </w:t>
      </w:r>
      <w:r>
        <w:rPr>
          <w:sz w:val="28"/>
          <w:szCs w:val="28"/>
          <w:lang w:val="nl-NL"/>
        </w:rPr>
        <w:t>Quyết định này có hiệu lực kể từ ngày 25 tháng 9 năm 2023.</w:t>
      </w:r>
    </w:p>
    <w:p w14:paraId="4FE2B864" w14:textId="77777777" w:rsidR="001535AA" w:rsidRDefault="007D25DA">
      <w:pPr>
        <w:ind w:firstLine="720"/>
        <w:jc w:val="both"/>
        <w:rPr>
          <w:sz w:val="28"/>
          <w:szCs w:val="28"/>
          <w:lang w:val="nl-NL"/>
        </w:rPr>
      </w:pPr>
      <w:r>
        <w:rPr>
          <w:sz w:val="28"/>
          <w:szCs w:val="28"/>
          <w:lang w:val="nl-NL"/>
        </w:rPr>
        <w:t xml:space="preserve">2. </w:t>
      </w:r>
      <w:r>
        <w:rPr>
          <w:spacing w:val="-4"/>
          <w:sz w:val="28"/>
          <w:szCs w:val="28"/>
          <w:lang w:val="nl-NL"/>
        </w:rPr>
        <w:t>Giám đốc các sở</w:t>
      </w:r>
      <w:r>
        <w:rPr>
          <w:sz w:val="28"/>
          <w:szCs w:val="28"/>
          <w:lang w:val="de-DE"/>
        </w:rPr>
        <w:t xml:space="preserve">, Thủ trưởng các cơ quan, đơn vị trực thuộc </w:t>
      </w:r>
      <w:r>
        <w:rPr>
          <w:sz w:val="28"/>
          <w:szCs w:val="28"/>
          <w:lang w:val="nl-NL"/>
        </w:rPr>
        <w:t xml:space="preserve">Ủy ban nhân dân </w:t>
      </w:r>
      <w:r>
        <w:rPr>
          <w:sz w:val="28"/>
          <w:szCs w:val="28"/>
          <w:lang w:val="de-DE"/>
        </w:rPr>
        <w:t xml:space="preserve">tỉnh; Chủ tịch </w:t>
      </w:r>
      <w:r>
        <w:rPr>
          <w:sz w:val="28"/>
          <w:szCs w:val="28"/>
          <w:lang w:val="nl-NL"/>
        </w:rPr>
        <w:t xml:space="preserve">Ủy ban nhân dân </w:t>
      </w:r>
      <w:r>
        <w:rPr>
          <w:sz w:val="28"/>
          <w:szCs w:val="28"/>
          <w:lang w:val="de-DE"/>
        </w:rPr>
        <w:t>các huyện, thành phố</w:t>
      </w:r>
      <w:r>
        <w:rPr>
          <w:sz w:val="28"/>
          <w:szCs w:val="28"/>
          <w:lang w:val="fi-FI"/>
        </w:rPr>
        <w:t xml:space="preserve"> và các cơ quan, đơn vị, cá nhân có liên quan căn cứ Quyết định thi hành./.</w:t>
      </w:r>
    </w:p>
    <w:p w14:paraId="47C8C000" w14:textId="77777777" w:rsidR="001535AA" w:rsidRDefault="001535AA">
      <w:pPr>
        <w:widowControl w:val="0"/>
        <w:jc w:val="both"/>
        <w:rPr>
          <w:color w:val="000000" w:themeColor="text1"/>
          <w:spacing w:val="-8"/>
          <w:sz w:val="28"/>
          <w:szCs w:val="28"/>
        </w:rPr>
      </w:pPr>
    </w:p>
    <w:tbl>
      <w:tblPr>
        <w:tblW w:w="9072" w:type="dxa"/>
        <w:tblLook w:val="01E0" w:firstRow="1" w:lastRow="1" w:firstColumn="1" w:lastColumn="1" w:noHBand="0" w:noVBand="0"/>
      </w:tblPr>
      <w:tblGrid>
        <w:gridCol w:w="4678"/>
        <w:gridCol w:w="4394"/>
      </w:tblGrid>
      <w:tr w:rsidR="001535AA" w14:paraId="34C6838D" w14:textId="77777777">
        <w:trPr>
          <w:trHeight w:val="2481"/>
        </w:trPr>
        <w:tc>
          <w:tcPr>
            <w:tcW w:w="4678" w:type="dxa"/>
            <w:shd w:val="clear" w:color="auto" w:fill="auto"/>
          </w:tcPr>
          <w:p w14:paraId="5B11A453" w14:textId="038FC16B" w:rsidR="001535AA" w:rsidRPr="008E7C0F" w:rsidRDefault="001535AA" w:rsidP="008E7C0F">
            <w:pPr>
              <w:widowControl w:val="0"/>
              <w:ind w:left="-108"/>
              <w:jc w:val="both"/>
              <w:rPr>
                <w:b/>
                <w:i/>
                <w:color w:val="000000" w:themeColor="text1"/>
                <w:lang w:val="pt-BR"/>
              </w:rPr>
            </w:pPr>
          </w:p>
        </w:tc>
        <w:tc>
          <w:tcPr>
            <w:tcW w:w="4394" w:type="dxa"/>
            <w:shd w:val="clear" w:color="auto" w:fill="auto"/>
          </w:tcPr>
          <w:p w14:paraId="4ED9FE0F" w14:textId="77777777" w:rsidR="001535AA" w:rsidRDefault="007D25DA">
            <w:pPr>
              <w:jc w:val="center"/>
              <w:rPr>
                <w:b/>
                <w:sz w:val="26"/>
                <w:szCs w:val="28"/>
                <w:lang w:val="vi-VN"/>
              </w:rPr>
            </w:pPr>
            <w:r>
              <w:rPr>
                <w:b/>
                <w:sz w:val="26"/>
                <w:szCs w:val="28"/>
                <w:lang w:val="vi-VN"/>
              </w:rPr>
              <w:t>TM. ỦY BAN NHÂN DÂN</w:t>
            </w:r>
          </w:p>
          <w:p w14:paraId="1BF47399" w14:textId="77777777" w:rsidR="001535AA" w:rsidRDefault="007D25DA">
            <w:pPr>
              <w:jc w:val="center"/>
              <w:rPr>
                <w:b/>
                <w:sz w:val="26"/>
                <w:szCs w:val="28"/>
              </w:rPr>
            </w:pPr>
            <w:r>
              <w:rPr>
                <w:b/>
                <w:sz w:val="26"/>
                <w:szCs w:val="28"/>
              </w:rPr>
              <w:t>KT.CHỦ TỊCH</w:t>
            </w:r>
          </w:p>
          <w:p w14:paraId="0C036883" w14:textId="77777777" w:rsidR="001535AA" w:rsidRDefault="007D25DA">
            <w:pPr>
              <w:jc w:val="center"/>
              <w:rPr>
                <w:b/>
                <w:sz w:val="26"/>
                <w:szCs w:val="28"/>
                <w:lang w:val="vi-VN"/>
              </w:rPr>
            </w:pPr>
            <w:r>
              <w:rPr>
                <w:b/>
                <w:sz w:val="26"/>
                <w:szCs w:val="28"/>
              </w:rPr>
              <w:t xml:space="preserve">PHÓ </w:t>
            </w:r>
            <w:r>
              <w:rPr>
                <w:b/>
                <w:sz w:val="26"/>
                <w:szCs w:val="28"/>
                <w:lang w:val="vi-VN"/>
              </w:rPr>
              <w:t>CHỦ TỊCH</w:t>
            </w:r>
          </w:p>
          <w:p w14:paraId="79CD1858" w14:textId="2C6351EA" w:rsidR="001535AA" w:rsidRPr="005158A9" w:rsidRDefault="005158A9">
            <w:pPr>
              <w:widowControl w:val="0"/>
              <w:jc w:val="center"/>
              <w:rPr>
                <w:b/>
                <w:i/>
                <w:iCs/>
                <w:color w:val="000000" w:themeColor="text1"/>
                <w:spacing w:val="-8"/>
                <w:sz w:val="26"/>
                <w:szCs w:val="26"/>
                <w:lang w:val="pt-BR"/>
              </w:rPr>
            </w:pPr>
            <w:bookmarkStart w:id="0" w:name="_GoBack"/>
            <w:r w:rsidRPr="005158A9">
              <w:rPr>
                <w:b/>
                <w:i/>
                <w:iCs/>
                <w:color w:val="000000" w:themeColor="text1"/>
                <w:spacing w:val="-8"/>
                <w:sz w:val="26"/>
                <w:szCs w:val="26"/>
                <w:lang w:val="pt-BR"/>
              </w:rPr>
              <w:t>(Đã ký)</w:t>
            </w:r>
          </w:p>
          <w:bookmarkEnd w:id="0"/>
          <w:p w14:paraId="1AD33C8C" w14:textId="77777777" w:rsidR="001535AA" w:rsidRDefault="007D25DA">
            <w:pPr>
              <w:widowControl w:val="0"/>
              <w:tabs>
                <w:tab w:val="left" w:pos="1545"/>
                <w:tab w:val="center" w:pos="2285"/>
              </w:tabs>
              <w:jc w:val="center"/>
              <w:rPr>
                <w:b/>
                <w:color w:val="000000" w:themeColor="text1"/>
                <w:sz w:val="27"/>
                <w:szCs w:val="27"/>
                <w:lang w:val="pt-BR"/>
              </w:rPr>
            </w:pPr>
            <w:r>
              <w:rPr>
                <w:b/>
                <w:color w:val="000000" w:themeColor="text1"/>
                <w:sz w:val="28"/>
                <w:szCs w:val="28"/>
                <w:lang w:val="pt-BR"/>
              </w:rPr>
              <w:t>Mai Sơn</w:t>
            </w:r>
          </w:p>
        </w:tc>
      </w:tr>
    </w:tbl>
    <w:p w14:paraId="3EB19702" w14:textId="77777777" w:rsidR="001535AA" w:rsidRDefault="001535AA">
      <w:pPr>
        <w:rPr>
          <w:color w:val="000000" w:themeColor="text1"/>
        </w:rPr>
      </w:pPr>
    </w:p>
    <w:sectPr w:rsidR="001535AA">
      <w:headerReference w:type="default" r:id="rId7"/>
      <w:pgSz w:w="11907" w:h="16839" w:code="9"/>
      <w:pgMar w:top="851" w:right="1134" w:bottom="851" w:left="1701" w:header="56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4B8B9" w14:textId="77777777" w:rsidR="006F3EAD" w:rsidRDefault="006F3EAD"/>
  </w:endnote>
  <w:endnote w:type="continuationSeparator" w:id="0">
    <w:p w14:paraId="31466A3D" w14:textId="77777777" w:rsidR="006F3EAD" w:rsidRDefault="006F3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185D0" w14:textId="77777777" w:rsidR="006F3EAD" w:rsidRDefault="006F3EAD"/>
  </w:footnote>
  <w:footnote w:type="continuationSeparator" w:id="0">
    <w:p w14:paraId="7928876C" w14:textId="77777777" w:rsidR="006F3EAD" w:rsidRDefault="006F3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C9D9B" w14:textId="77777777" w:rsidR="001535AA" w:rsidRDefault="007D25DA">
    <w:pPr>
      <w:pStyle w:val="Header"/>
      <w:jc w:val="center"/>
    </w:pPr>
    <w:r>
      <w:fldChar w:fldCharType="begin"/>
    </w:r>
    <w:r>
      <w:instrText xml:space="preserve"> PAGE   \* MERGEFORMAT </w:instrText>
    </w:r>
    <w:r>
      <w:fldChar w:fldCharType="separate"/>
    </w:r>
    <w:r>
      <w:rPr>
        <w:noProof/>
      </w:rPr>
      <w:t>#</w:t>
    </w:r>
    <w:r>
      <w:rPr>
        <w:noProof/>
      </w:rPr>
      <w:fldChar w:fldCharType="end"/>
    </w:r>
  </w:p>
  <w:p w14:paraId="42672996" w14:textId="77777777" w:rsidR="001535AA" w:rsidRDefault="001535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5AA"/>
    <w:rsid w:val="001535AA"/>
    <w:rsid w:val="005158A9"/>
    <w:rsid w:val="006F3EAD"/>
    <w:rsid w:val="007D25DA"/>
    <w:rsid w:val="008E7C0F"/>
    <w:rsid w:val="00BF0470"/>
    <w:rsid w:val="00E5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90BF9"/>
  <w15:docId w15:val="{A92B131C-336B-4D54-BB8A-2F460F82B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Segoe UI" w:hAnsi="Segoe UI"/>
      <w:sz w:val="18"/>
      <w:szCs w:val="18"/>
    </w:rPr>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paragraph" w:styleId="BodyTextIndent">
    <w:name w:val="Body Text Indent"/>
    <w:basedOn w:val="Normal"/>
    <w:link w:val="BodyTextIndentChar"/>
    <w:pPr>
      <w:spacing w:after="120"/>
      <w:ind w:left="360"/>
    </w:pPr>
  </w:style>
  <w:style w:type="paragraph" w:styleId="NormalWeb">
    <w:name w:val="Normal (Web)"/>
    <w:basedOn w:val="Normal"/>
    <w:pPr>
      <w:spacing w:before="100" w:beforeAutospacing="1" w:after="100" w:afterAutospacing="1"/>
    </w:pPr>
  </w:style>
  <w:style w:type="paragraph" w:styleId="FootnoteText">
    <w:name w:val="footnote text"/>
    <w:link w:val="FootnoteTextChar"/>
    <w:semiHidden/>
    <w:pPr>
      <w:spacing w:after="0" w:line="240" w:lineRule="auto"/>
    </w:pPr>
    <w:rPr>
      <w:sz w:val="20"/>
      <w:szCs w:val="20"/>
    </w:rPr>
  </w:style>
  <w:style w:type="paragraph" w:styleId="EndnoteText">
    <w:name w:val="endnote text"/>
    <w:link w:val="EndnoteTextChar"/>
    <w:semiHidden/>
    <w:pPr>
      <w:spacing w:after="0" w:line="240" w:lineRule="auto"/>
    </w:pPr>
    <w:rPr>
      <w:sz w:val="20"/>
      <w:szCs w:val="20"/>
    </w:rPr>
  </w:style>
  <w:style w:type="character" w:styleId="LineNumber">
    <w:name w:val="line number"/>
    <w:basedOn w:val="DefaultParagraphFont"/>
    <w:semiHidden/>
  </w:style>
  <w:style w:type="character" w:styleId="Hyperlink">
    <w:name w:val="Hyperlink"/>
    <w:rPr>
      <w:rFonts w:ascii="Times New Roman" w:hAnsi="Times New Roman"/>
      <w:color w:val="0000FF"/>
      <w:u w:val="single"/>
    </w:rPr>
  </w:style>
  <w:style w:type="character" w:customStyle="1" w:styleId="BalloonTextChar">
    <w:name w:val="Balloon Text Char"/>
    <w:basedOn w:val="DefaultParagraphFont"/>
    <w:link w:val="BalloonText"/>
    <w:semiHidden/>
    <w:rPr>
      <w:rFonts w:ascii="Segoe UI" w:hAnsi="Segoe UI"/>
      <w:sz w:val="18"/>
      <w:szCs w:val="18"/>
    </w:rPr>
  </w:style>
  <w:style w:type="character" w:customStyle="1" w:styleId="HeaderChar">
    <w:name w:val="Header Char"/>
    <w:basedOn w:val="DefaultParagraphFont"/>
    <w:link w:val="Header"/>
  </w:style>
  <w:style w:type="character" w:customStyle="1" w:styleId="FooterChar">
    <w:name w:val="Footer Char"/>
    <w:basedOn w:val="DefaultParagraphFont"/>
    <w:link w:val="Footer"/>
  </w:style>
  <w:style w:type="character" w:customStyle="1" w:styleId="BodyTextIndentChar">
    <w:name w:val="Body Text Indent Char"/>
    <w:basedOn w:val="DefaultParagraphFont"/>
    <w:link w:val="BodyTextIndent"/>
  </w:style>
  <w:style w:type="character" w:styleId="Emphasis">
    <w:name w:val="Emphasis"/>
    <w:qFormat/>
    <w:rPr>
      <w:rFonts w:ascii="Times New Roman" w:hAnsi="Times New Roman"/>
      <w:i/>
      <w:iCs/>
    </w:rPr>
  </w:style>
  <w:style w:type="character" w:styleId="FootnoteReference">
    <w:name w:val="footnote reference"/>
    <w:semiHidden/>
    <w:rPr>
      <w:rFonts w:ascii="Times New Roman" w:hAnsi="Times New Roman"/>
      <w:vertAlign w:val="superscript"/>
    </w:rPr>
  </w:style>
  <w:style w:type="character" w:customStyle="1" w:styleId="FootnoteTextChar">
    <w:name w:val="Footnote Text Char"/>
    <w:link w:val="FootnoteText"/>
    <w:semiHidden/>
    <w:rPr>
      <w:rFonts w:ascii="Times New Roman" w:hAnsi="Times New Roman"/>
      <w:sz w:val="20"/>
      <w:szCs w:val="20"/>
    </w:rPr>
  </w:style>
  <w:style w:type="character" w:styleId="EndnoteReference">
    <w:name w:val="endnote reference"/>
    <w:semiHidden/>
    <w:rPr>
      <w:rFonts w:ascii="Times New Roman" w:hAnsi="Times New Roman"/>
      <w:vertAlign w:val="superscript"/>
    </w:rPr>
  </w:style>
  <w:style w:type="character" w:customStyle="1" w:styleId="EndnoteTextChar">
    <w:name w:val="Endnote Text Char"/>
    <w:link w:val="EndnoteText"/>
    <w:semiHidden/>
    <w:rPr>
      <w:rFonts w:ascii="Times New Roman" w:hAnsi="Times New Roman"/>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B14B42-9FE5-4DD6-AE18-8C78BF712F3B}">
  <ds:schemaRefs>
    <ds:schemaRef ds:uri="http://schemas.openxmlformats.org/officeDocument/2006/bibliography"/>
  </ds:schemaRefs>
</ds:datastoreItem>
</file>

<file path=customXml/itemProps2.xml><?xml version="1.0" encoding="utf-8"?>
<ds:datastoreItem xmlns:ds="http://schemas.openxmlformats.org/officeDocument/2006/customXml" ds:itemID="{4555563F-C63B-4B06-AF3E-FD99A7023D2B}"/>
</file>

<file path=customXml/itemProps3.xml><?xml version="1.0" encoding="utf-8"?>
<ds:datastoreItem xmlns:ds="http://schemas.openxmlformats.org/officeDocument/2006/customXml" ds:itemID="{A136AF77-4CA4-482E-855A-2F808016B743}"/>
</file>

<file path=customXml/itemProps4.xml><?xml version="1.0" encoding="utf-8"?>
<ds:datastoreItem xmlns:ds="http://schemas.openxmlformats.org/officeDocument/2006/customXml" ds:itemID="{370668F9-6590-46CF-AD7C-C5D10E712A9D}"/>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Company>Ngoc Dung Computer</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4</cp:revision>
  <cp:lastPrinted>2023-09-07T02:28:00Z</cp:lastPrinted>
  <dcterms:created xsi:type="dcterms:W3CDTF">2023-09-12T10:00:00Z</dcterms:created>
  <dcterms:modified xsi:type="dcterms:W3CDTF">2023-09-12T10:00:00Z</dcterms:modified>
</cp:coreProperties>
</file>